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3385"/>
        <w:gridCol w:w="7088"/>
        <w:gridCol w:w="3261"/>
      </w:tblGrid>
      <w:tr w:rsidR="00727639" w:rsidRPr="00727639" w:rsidTr="00125E0A">
        <w:tc>
          <w:tcPr>
            <w:tcW w:w="14317" w:type="dxa"/>
            <w:gridSpan w:val="4"/>
            <w:shd w:val="clear" w:color="auto" w:fill="D9D9D9"/>
          </w:tcPr>
          <w:p w:rsidR="00727639" w:rsidRPr="00727639" w:rsidRDefault="00727639" w:rsidP="00727639">
            <w:pPr>
              <w:tabs>
                <w:tab w:val="left" w:pos="5925"/>
              </w:tabs>
              <w:spacing w:before="120" w:after="60" w:line="276" w:lineRule="auto"/>
              <w:jc w:val="both"/>
              <w:rPr>
                <w:rFonts w:ascii="Times New Roman" w:eastAsia="Calibri" w:hAnsi="Times New Roman" w:cs="Times New Roman"/>
                <w:sz w:val="26"/>
                <w:szCs w:val="26"/>
                <w:lang w:val="fr-FR"/>
              </w:rPr>
            </w:pPr>
            <w:r w:rsidRPr="00727639">
              <w:rPr>
                <w:rFonts w:ascii="Times New Roman" w:eastAsia="Calibri" w:hAnsi="Times New Roman" w:cs="Times New Roman"/>
                <w:b/>
                <w:sz w:val="26"/>
                <w:szCs w:val="26"/>
                <w:lang w:val="fr-FR"/>
              </w:rPr>
              <w:t>Dự thảo Nghị định về điều kiện đầu tư và hoạt động trong lĩnh vực giáo dục nghề nghiệp</w:t>
            </w:r>
          </w:p>
        </w:tc>
      </w:tr>
      <w:tr w:rsidR="00727639" w:rsidRPr="00727639" w:rsidTr="00125E0A">
        <w:trPr>
          <w:trHeight w:val="857"/>
        </w:trPr>
        <w:tc>
          <w:tcPr>
            <w:tcW w:w="583" w:type="dxa"/>
            <w:shd w:val="clear" w:color="auto" w:fill="auto"/>
          </w:tcPr>
          <w:p w:rsidR="00727639" w:rsidRPr="00727639" w:rsidRDefault="00727639" w:rsidP="00727639">
            <w:pPr>
              <w:numPr>
                <w:ilvl w:val="0"/>
                <w:numId w:val="1"/>
              </w:numPr>
              <w:spacing w:before="120" w:after="60" w:line="276" w:lineRule="auto"/>
              <w:contextualSpacing/>
              <w:rPr>
                <w:rFonts w:ascii="Times New Roman" w:eastAsia="Calibri" w:hAnsi="Times New Roman" w:cs="Times New Roman"/>
                <w:sz w:val="26"/>
                <w:szCs w:val="26"/>
                <w:lang w:val="fr-FR"/>
              </w:rPr>
            </w:pPr>
          </w:p>
        </w:tc>
        <w:tc>
          <w:tcPr>
            <w:tcW w:w="3385" w:type="dxa"/>
            <w:shd w:val="clear" w:color="auto" w:fill="auto"/>
          </w:tcPr>
          <w:p w:rsidR="00727639" w:rsidRPr="00727639" w:rsidRDefault="00727639" w:rsidP="00727639">
            <w:pPr>
              <w:spacing w:before="120" w:after="60" w:line="276" w:lineRule="auto"/>
              <w:jc w:val="both"/>
              <w:rPr>
                <w:rFonts w:ascii="Times New Roman" w:eastAsia="Calibri" w:hAnsi="Times New Roman" w:cs="Times New Roman"/>
                <w:b/>
                <w:sz w:val="26"/>
                <w:szCs w:val="26"/>
                <w:lang w:val="fr-FR"/>
              </w:rPr>
            </w:pPr>
            <w:r w:rsidRPr="00727639">
              <w:rPr>
                <w:rFonts w:ascii="Times New Roman" w:eastAsia="Calibri" w:hAnsi="Times New Roman" w:cs="Times New Roman"/>
                <w:b/>
                <w:sz w:val="26"/>
                <w:szCs w:val="26"/>
                <w:lang w:val="fr-FR"/>
              </w:rPr>
              <w:t>Chương II: quy định về thành lập, cho phép thành lập, chia, tách, sáp nhập, giải thể cơ sở giáo dục nghề nghiệp; thành lập, cho phép thành lập, chấm dứt hoạt động phân hiệu của trường trung cấp, trường cao đẳng</w:t>
            </w:r>
          </w:p>
        </w:tc>
        <w:tc>
          <w:tcPr>
            <w:tcW w:w="7088" w:type="dxa"/>
            <w:shd w:val="clear" w:color="auto" w:fill="auto"/>
          </w:tcPr>
          <w:p w:rsidR="00727639" w:rsidRPr="00727639" w:rsidRDefault="00727639" w:rsidP="00727639">
            <w:pPr>
              <w:spacing w:before="120" w:after="60" w:line="276" w:lineRule="auto"/>
              <w:jc w:val="both"/>
              <w:rPr>
                <w:rFonts w:ascii="Times New Roman" w:eastAsia="Calibri" w:hAnsi="Times New Roman" w:cs="Times New Roman"/>
                <w:sz w:val="26"/>
                <w:szCs w:val="26"/>
                <w:lang w:val="fr-FR"/>
              </w:rPr>
            </w:pPr>
            <w:r w:rsidRPr="00727639">
              <w:rPr>
                <w:rFonts w:ascii="Times New Roman" w:eastAsia="Calibri" w:hAnsi="Times New Roman" w:cs="Times New Roman"/>
                <w:sz w:val="26"/>
                <w:szCs w:val="26"/>
                <w:lang w:val="fr-FR"/>
              </w:rPr>
              <w:t>Hiện tại, trong lĩnh vực giáo dục nghề nghiệp, cơ sở giáo dục phải thực hiện 2 quy trình:</w:t>
            </w:r>
          </w:p>
          <w:p w:rsidR="00727639" w:rsidRPr="00727639" w:rsidRDefault="00727639" w:rsidP="00727639">
            <w:pPr>
              <w:spacing w:before="120" w:after="60" w:line="276" w:lineRule="auto"/>
              <w:jc w:val="both"/>
              <w:rPr>
                <w:rFonts w:ascii="Times New Roman" w:eastAsia="Calibri" w:hAnsi="Times New Roman" w:cs="Times New Roman"/>
                <w:sz w:val="26"/>
                <w:szCs w:val="26"/>
                <w:lang w:val="fr-FR"/>
              </w:rPr>
            </w:pPr>
            <w:r w:rsidRPr="00727639">
              <w:rPr>
                <w:rFonts w:ascii="Times New Roman" w:eastAsia="Calibri" w:hAnsi="Times New Roman" w:cs="Times New Roman"/>
                <w:sz w:val="26"/>
                <w:szCs w:val="26"/>
                <w:lang w:val="fr-FR"/>
              </w:rPr>
              <w:t>- Quy trình 1: Xin cấp quyết định thành lập</w:t>
            </w:r>
          </w:p>
          <w:p w:rsidR="00727639" w:rsidRPr="00727639" w:rsidRDefault="00727639" w:rsidP="00727639">
            <w:pPr>
              <w:spacing w:before="120" w:after="60" w:line="276" w:lineRule="auto"/>
              <w:jc w:val="both"/>
              <w:rPr>
                <w:rFonts w:ascii="Times New Roman" w:eastAsia="Calibri" w:hAnsi="Times New Roman" w:cs="Times New Roman"/>
                <w:sz w:val="26"/>
                <w:szCs w:val="26"/>
                <w:lang w:val="fr-FR"/>
              </w:rPr>
            </w:pPr>
            <w:r w:rsidRPr="00727639">
              <w:rPr>
                <w:rFonts w:ascii="Times New Roman" w:eastAsia="Calibri" w:hAnsi="Times New Roman" w:cs="Times New Roman"/>
                <w:sz w:val="26"/>
                <w:szCs w:val="26"/>
                <w:lang w:val="fr-FR"/>
              </w:rPr>
              <w:t>- Quy trình 2: Xin cấp Giấy phép hoạt động</w:t>
            </w:r>
          </w:p>
          <w:p w:rsidR="00727639" w:rsidRPr="00727639" w:rsidRDefault="00727639" w:rsidP="00727639">
            <w:pPr>
              <w:spacing w:before="120" w:after="60" w:line="276" w:lineRule="auto"/>
              <w:jc w:val="both"/>
              <w:rPr>
                <w:rFonts w:ascii="Times New Roman" w:eastAsia="Calibri" w:hAnsi="Times New Roman" w:cs="Times New Roman"/>
                <w:sz w:val="26"/>
                <w:szCs w:val="26"/>
                <w:lang w:val="fr-FR"/>
              </w:rPr>
            </w:pPr>
            <w:r w:rsidRPr="00727639">
              <w:rPr>
                <w:rFonts w:ascii="Times New Roman" w:eastAsia="Calibri" w:hAnsi="Times New Roman" w:cs="Times New Roman"/>
                <w:sz w:val="26"/>
                <w:szCs w:val="26"/>
                <w:lang w:val="fr-FR"/>
              </w:rPr>
              <w:t>Để được cấp Quyết định thành lập, cơ sở giáo dục phải đáp ứng các điều kiện sau:</w:t>
            </w:r>
          </w:p>
          <w:p w:rsidR="00727639" w:rsidRPr="00727639" w:rsidRDefault="00727639" w:rsidP="00727639">
            <w:pPr>
              <w:numPr>
                <w:ilvl w:val="0"/>
                <w:numId w:val="2"/>
              </w:numPr>
              <w:spacing w:before="120" w:after="60" w:line="276" w:lineRule="auto"/>
              <w:ind w:left="714" w:hanging="357"/>
              <w:contextualSpacing/>
              <w:jc w:val="both"/>
              <w:rPr>
                <w:rFonts w:ascii="Times New Roman" w:eastAsia="Calibri" w:hAnsi="Times New Roman" w:cs="Times New Roman"/>
                <w:sz w:val="26"/>
                <w:szCs w:val="26"/>
                <w:lang w:val="fr-FR"/>
              </w:rPr>
            </w:pPr>
            <w:r w:rsidRPr="00727639">
              <w:rPr>
                <w:rFonts w:ascii="Times New Roman" w:eastAsia="Calibri" w:hAnsi="Times New Roman" w:cs="Times New Roman"/>
                <w:sz w:val="26"/>
                <w:szCs w:val="26"/>
                <w:lang w:val="fr-FR"/>
              </w:rPr>
              <w:t>Các điều kiện về đăng ký hoạt động;</w:t>
            </w:r>
          </w:p>
          <w:p w:rsidR="00727639" w:rsidRPr="00727639" w:rsidRDefault="00727639" w:rsidP="00727639">
            <w:pPr>
              <w:numPr>
                <w:ilvl w:val="0"/>
                <w:numId w:val="2"/>
              </w:numPr>
              <w:spacing w:before="120" w:after="60" w:line="276" w:lineRule="auto"/>
              <w:ind w:left="714" w:hanging="357"/>
              <w:contextualSpacing/>
              <w:jc w:val="both"/>
              <w:rPr>
                <w:rFonts w:ascii="Times New Roman" w:eastAsia="Calibri" w:hAnsi="Times New Roman" w:cs="Times New Roman"/>
                <w:sz w:val="26"/>
                <w:szCs w:val="26"/>
                <w:lang w:val="fr-FR"/>
              </w:rPr>
            </w:pPr>
            <w:r w:rsidRPr="00727639">
              <w:rPr>
                <w:rFonts w:ascii="Times New Roman" w:eastAsia="Calibri" w:hAnsi="Times New Roman" w:cs="Times New Roman"/>
                <w:sz w:val="26"/>
                <w:szCs w:val="26"/>
                <w:lang w:val="fr-FR"/>
              </w:rPr>
              <w:t>Phù hợp với quy hoạch;</w:t>
            </w:r>
          </w:p>
          <w:p w:rsidR="00727639" w:rsidRPr="00727639" w:rsidRDefault="00727639" w:rsidP="00727639">
            <w:pPr>
              <w:numPr>
                <w:ilvl w:val="0"/>
                <w:numId w:val="2"/>
              </w:numPr>
              <w:spacing w:before="120" w:after="60" w:line="276" w:lineRule="auto"/>
              <w:ind w:left="714" w:hanging="357"/>
              <w:contextualSpacing/>
              <w:jc w:val="both"/>
              <w:rPr>
                <w:rFonts w:ascii="Times New Roman" w:eastAsia="Calibri" w:hAnsi="Times New Roman" w:cs="Times New Roman"/>
                <w:sz w:val="26"/>
                <w:szCs w:val="26"/>
                <w:lang w:val="fr-FR"/>
              </w:rPr>
            </w:pPr>
            <w:r w:rsidRPr="00727639">
              <w:rPr>
                <w:rFonts w:ascii="Times New Roman" w:eastAsia="Calibri" w:hAnsi="Times New Roman" w:cs="Times New Roman"/>
                <w:sz w:val="26"/>
                <w:szCs w:val="26"/>
                <w:lang w:val="fr-FR"/>
              </w:rPr>
              <w:t>Điều kiện về quy mô đào tạo;</w:t>
            </w:r>
          </w:p>
          <w:p w:rsidR="00727639" w:rsidRPr="00727639" w:rsidRDefault="00727639" w:rsidP="00727639">
            <w:pPr>
              <w:numPr>
                <w:ilvl w:val="0"/>
                <w:numId w:val="2"/>
              </w:numPr>
              <w:spacing w:before="120" w:after="60" w:line="276" w:lineRule="auto"/>
              <w:ind w:left="714" w:hanging="357"/>
              <w:contextualSpacing/>
              <w:jc w:val="both"/>
              <w:rPr>
                <w:rFonts w:ascii="Times New Roman" w:eastAsia="Calibri" w:hAnsi="Times New Roman" w:cs="Times New Roman"/>
                <w:sz w:val="26"/>
                <w:szCs w:val="26"/>
                <w:lang w:val="fr-FR"/>
              </w:rPr>
            </w:pPr>
            <w:r w:rsidRPr="00727639">
              <w:rPr>
                <w:rFonts w:ascii="Times New Roman" w:eastAsia="Calibri" w:hAnsi="Times New Roman" w:cs="Times New Roman"/>
                <w:sz w:val="26"/>
                <w:szCs w:val="26"/>
                <w:lang w:val="fr-FR"/>
              </w:rPr>
              <w:t>Điều kiện về địa điểm xây dựng cơ sở vật chất;</w:t>
            </w:r>
          </w:p>
          <w:p w:rsidR="00727639" w:rsidRPr="00727639" w:rsidRDefault="00727639" w:rsidP="00727639">
            <w:pPr>
              <w:numPr>
                <w:ilvl w:val="0"/>
                <w:numId w:val="2"/>
              </w:numPr>
              <w:spacing w:before="120" w:after="60" w:line="276" w:lineRule="auto"/>
              <w:ind w:left="714" w:hanging="357"/>
              <w:contextualSpacing/>
              <w:jc w:val="both"/>
              <w:rPr>
                <w:rFonts w:ascii="Times New Roman" w:eastAsia="Calibri" w:hAnsi="Times New Roman" w:cs="Times New Roman"/>
                <w:sz w:val="26"/>
                <w:szCs w:val="26"/>
                <w:lang w:val="fr-FR"/>
              </w:rPr>
            </w:pPr>
            <w:r w:rsidRPr="00727639">
              <w:rPr>
                <w:rFonts w:ascii="Times New Roman" w:eastAsia="Calibri" w:hAnsi="Times New Roman" w:cs="Times New Roman"/>
                <w:sz w:val="26"/>
                <w:szCs w:val="26"/>
                <w:lang w:val="fr-FR"/>
              </w:rPr>
              <w:t>Điều kiện về vốn đầu tư.</w:t>
            </w:r>
          </w:p>
          <w:p w:rsidR="00727639" w:rsidRPr="00727639" w:rsidRDefault="00727639" w:rsidP="00727639">
            <w:pPr>
              <w:spacing w:before="120" w:after="60" w:line="276" w:lineRule="auto"/>
              <w:jc w:val="both"/>
              <w:rPr>
                <w:rFonts w:ascii="Times New Roman" w:eastAsia="Calibri" w:hAnsi="Times New Roman" w:cs="Times New Roman"/>
                <w:sz w:val="26"/>
                <w:szCs w:val="26"/>
                <w:lang w:val="fr-FR"/>
              </w:rPr>
            </w:pPr>
            <w:r w:rsidRPr="00727639">
              <w:rPr>
                <w:rFonts w:ascii="Times New Roman" w:eastAsia="Calibri" w:hAnsi="Times New Roman" w:cs="Times New Roman"/>
                <w:sz w:val="26"/>
                <w:szCs w:val="26"/>
                <w:lang w:val="fr-FR"/>
              </w:rPr>
              <w:t xml:space="preserve">Với điều kiện hồ sơ hợp lệ, cơ sở giáo dục phải mất ít nhất 30 ngày làm việc để được cấp quyết định thành lập chưa kể thời gian ký quyết định thành lập hiện Nghị định chưa quy định cụ thể. </w:t>
            </w:r>
          </w:p>
          <w:p w:rsidR="00727639" w:rsidRPr="00727639" w:rsidRDefault="00727639" w:rsidP="00727639">
            <w:pPr>
              <w:spacing w:before="120" w:after="60" w:line="276" w:lineRule="auto"/>
              <w:jc w:val="both"/>
              <w:rPr>
                <w:rFonts w:ascii="Times New Roman" w:eastAsia="Calibri" w:hAnsi="Times New Roman" w:cs="Times New Roman"/>
                <w:sz w:val="26"/>
                <w:szCs w:val="26"/>
                <w:lang w:val="fr-FR"/>
              </w:rPr>
            </w:pPr>
            <w:r w:rsidRPr="00727639">
              <w:rPr>
                <w:rFonts w:ascii="Times New Roman" w:eastAsia="Calibri" w:hAnsi="Times New Roman" w:cs="Times New Roman"/>
                <w:sz w:val="26"/>
                <w:szCs w:val="26"/>
                <w:lang w:val="fr-FR"/>
              </w:rPr>
              <w:t>Sau khi được cấp Quyết định thành lập, cơ sở giáo dục tiếp tục đáp ứng các điều kiện về hoạt động và thực hiện thủ tục đăng kí hoạt động. Thời gian hoàn thành thủ tục đăng ký hoạt động theo quy định tại Nghị định là 10 ngày làm việc với điều kiện hồ sơ hợp lệ.</w:t>
            </w:r>
          </w:p>
          <w:p w:rsidR="00727639" w:rsidRPr="00727639" w:rsidRDefault="00727639" w:rsidP="00727639">
            <w:pPr>
              <w:spacing w:before="120" w:after="60" w:line="276" w:lineRule="auto"/>
              <w:jc w:val="both"/>
              <w:rPr>
                <w:rFonts w:ascii="Times New Roman" w:eastAsia="Calibri" w:hAnsi="Times New Roman" w:cs="Times New Roman"/>
                <w:sz w:val="26"/>
                <w:szCs w:val="26"/>
                <w:lang w:val="fr-FR"/>
              </w:rPr>
            </w:pPr>
            <w:r w:rsidRPr="00727639">
              <w:rPr>
                <w:rFonts w:ascii="Times New Roman" w:eastAsia="Calibri" w:hAnsi="Times New Roman" w:cs="Times New Roman"/>
                <w:sz w:val="26"/>
                <w:szCs w:val="26"/>
                <w:lang w:val="fr-FR"/>
              </w:rPr>
              <w:t xml:space="preserve">Hiện tại, việc thực hiện thủ tục theo 2 quy trình nêu trên đang gây nhiều khó khăn, lãng phí thời gian, chi phí cho cơ sở giáo dục và cũng tăng chi phí tuân thủ cho cơ quan có thẩm quyền. Có doanh nghiệp mất cả năm vẫn chưa hoàn thành các thủ tục để đi vào hoạt động. Trong khi đó, việc thẩm định để cấp quyết định thành lập </w:t>
            </w:r>
            <w:r w:rsidRPr="00727639">
              <w:rPr>
                <w:rFonts w:ascii="Times New Roman" w:eastAsia="Calibri" w:hAnsi="Times New Roman" w:cs="Times New Roman"/>
                <w:sz w:val="26"/>
                <w:szCs w:val="26"/>
                <w:lang w:val="fr-FR"/>
              </w:rPr>
              <w:lastRenderedPageBreak/>
              <w:t>chủ yếu tập trung vào sự phù hợp của quy hoạch và các điều kiện do nhà đầu tư cam kết đáp ứng như quy mô, vốn đầu tư nên không có ý nghĩa nhiều về mặt thực tiễn.</w:t>
            </w:r>
          </w:p>
        </w:tc>
        <w:tc>
          <w:tcPr>
            <w:tcW w:w="3261" w:type="dxa"/>
            <w:shd w:val="clear" w:color="auto" w:fill="auto"/>
          </w:tcPr>
          <w:p w:rsidR="00727639" w:rsidRPr="00727639" w:rsidRDefault="00727639" w:rsidP="00727639">
            <w:pPr>
              <w:spacing w:before="120" w:after="60" w:line="276" w:lineRule="auto"/>
              <w:jc w:val="both"/>
              <w:rPr>
                <w:rFonts w:ascii="Times New Roman" w:eastAsia="Calibri" w:hAnsi="Times New Roman" w:cs="Times New Roman"/>
                <w:sz w:val="26"/>
                <w:szCs w:val="26"/>
                <w:lang w:val="fr-FR"/>
              </w:rPr>
            </w:pPr>
            <w:r w:rsidRPr="00727639">
              <w:rPr>
                <w:rFonts w:ascii="Times New Roman" w:eastAsia="Calibri" w:hAnsi="Times New Roman" w:cs="Times New Roman"/>
                <w:sz w:val="26"/>
                <w:szCs w:val="26"/>
                <w:lang w:val="fr-FR"/>
              </w:rPr>
              <w:lastRenderedPageBreak/>
              <w:t xml:space="preserve">Đề nghị </w:t>
            </w:r>
            <w:r w:rsidRPr="00727639">
              <w:rPr>
                <w:rFonts w:ascii="Times New Roman" w:eastAsia="Calibri" w:hAnsi="Times New Roman" w:cs="Times New Roman"/>
                <w:b/>
                <w:sz w:val="26"/>
                <w:szCs w:val="26"/>
                <w:lang w:val="fr-FR"/>
              </w:rPr>
              <w:t>Bỏ quy trình xin cấp quyết định thành lập</w:t>
            </w:r>
            <w:r w:rsidRPr="00727639">
              <w:rPr>
                <w:rFonts w:ascii="Times New Roman" w:eastAsia="Calibri" w:hAnsi="Times New Roman" w:cs="Times New Roman"/>
                <w:sz w:val="26"/>
                <w:szCs w:val="26"/>
                <w:lang w:val="fr-FR"/>
              </w:rPr>
              <w:t>, thay vào đó Nhà nước sẽ:</w:t>
            </w:r>
          </w:p>
          <w:p w:rsidR="00727639" w:rsidRPr="00727639" w:rsidRDefault="00727639" w:rsidP="00727639">
            <w:pPr>
              <w:spacing w:before="120" w:after="60" w:line="240" w:lineRule="auto"/>
              <w:jc w:val="both"/>
              <w:rPr>
                <w:rFonts w:ascii="Times New Roman" w:eastAsia="Calibri" w:hAnsi="Times New Roman" w:cs="Times New Roman"/>
                <w:sz w:val="26"/>
                <w:szCs w:val="26"/>
                <w:lang w:val="fr-FR"/>
              </w:rPr>
            </w:pPr>
            <w:r w:rsidRPr="00727639">
              <w:rPr>
                <w:rFonts w:ascii="Times New Roman" w:eastAsia="Calibri" w:hAnsi="Times New Roman" w:cs="Times New Roman"/>
                <w:sz w:val="26"/>
                <w:szCs w:val="26"/>
                <w:lang w:val="fr-FR"/>
              </w:rPr>
              <w:t>1. Công bố công khai quy hoạch mạng lưới cơ sở giáo dục;</w:t>
            </w:r>
          </w:p>
          <w:p w:rsidR="00727639" w:rsidRPr="00727639" w:rsidRDefault="00727639" w:rsidP="00727639">
            <w:pPr>
              <w:spacing w:before="120" w:after="60" w:line="276" w:lineRule="auto"/>
              <w:jc w:val="both"/>
              <w:rPr>
                <w:rFonts w:ascii="Times New Roman" w:eastAsia="Calibri" w:hAnsi="Times New Roman" w:cs="Times New Roman"/>
                <w:sz w:val="26"/>
                <w:szCs w:val="26"/>
                <w:lang w:val="fr-FR"/>
              </w:rPr>
            </w:pPr>
            <w:r w:rsidRPr="00727639">
              <w:rPr>
                <w:rFonts w:ascii="Times New Roman" w:eastAsia="Calibri" w:hAnsi="Times New Roman" w:cs="Times New Roman"/>
                <w:sz w:val="26"/>
                <w:szCs w:val="26"/>
                <w:lang w:val="fr-FR"/>
              </w:rPr>
              <w:t xml:space="preserve">2. Đưa một số điều kiện cơ sở giáo dục phải đáp ứng (quy mô đào tạo, địa điểm xây dựng cơ sở vật chất kỹ thuật, vốn đầu tư) vào điều kiện xin cấp giấy phép hoạt động để thẩm định tại bước xin cấp giấy phép hoạt động. </w:t>
            </w:r>
          </w:p>
        </w:tc>
      </w:tr>
      <w:tr w:rsidR="00727639" w:rsidRPr="00727639" w:rsidTr="00125E0A">
        <w:tc>
          <w:tcPr>
            <w:tcW w:w="583" w:type="dxa"/>
            <w:shd w:val="clear" w:color="auto" w:fill="auto"/>
          </w:tcPr>
          <w:p w:rsidR="00727639" w:rsidRPr="00727639" w:rsidRDefault="00727639" w:rsidP="00727639">
            <w:pPr>
              <w:numPr>
                <w:ilvl w:val="0"/>
                <w:numId w:val="1"/>
              </w:numPr>
              <w:spacing w:before="120" w:after="60" w:line="276" w:lineRule="auto"/>
              <w:contextualSpacing/>
              <w:rPr>
                <w:rFonts w:ascii="Times New Roman" w:eastAsia="Calibri" w:hAnsi="Times New Roman" w:cs="Times New Roman"/>
                <w:sz w:val="26"/>
                <w:szCs w:val="26"/>
                <w:lang w:val="fr-FR"/>
              </w:rPr>
            </w:pPr>
          </w:p>
        </w:tc>
        <w:tc>
          <w:tcPr>
            <w:tcW w:w="3385" w:type="dxa"/>
            <w:shd w:val="clear" w:color="auto" w:fill="auto"/>
          </w:tcPr>
          <w:p w:rsidR="00727639" w:rsidRPr="00727639" w:rsidRDefault="00727639" w:rsidP="00727639">
            <w:pPr>
              <w:spacing w:before="120" w:after="60" w:line="276" w:lineRule="auto"/>
              <w:jc w:val="both"/>
              <w:rPr>
                <w:rFonts w:ascii="Times New Roman" w:eastAsia="Times New Roman" w:hAnsi="Times New Roman" w:cs="Times New Roman"/>
                <w:b/>
                <w:bCs/>
                <w:sz w:val="26"/>
                <w:szCs w:val="26"/>
                <w:lang w:val="fr-FR"/>
              </w:rPr>
            </w:pPr>
            <w:r w:rsidRPr="00727639">
              <w:rPr>
                <w:rFonts w:ascii="Times New Roman" w:eastAsia="Times New Roman" w:hAnsi="Times New Roman" w:cs="Times New Roman"/>
                <w:b/>
                <w:bCs/>
                <w:sz w:val="26"/>
                <w:szCs w:val="26"/>
                <w:lang w:val="fr-FR"/>
              </w:rPr>
              <w:t>Điều 23. Điều khoản chuyển tiếp</w:t>
            </w:r>
          </w:p>
          <w:p w:rsidR="00727639" w:rsidRPr="00727639" w:rsidRDefault="00727639" w:rsidP="00727639">
            <w:pPr>
              <w:spacing w:before="120" w:after="60" w:line="276" w:lineRule="auto"/>
              <w:jc w:val="both"/>
              <w:rPr>
                <w:rFonts w:ascii="Times New Roman" w:eastAsia="Times New Roman" w:hAnsi="Times New Roman" w:cs="Times New Roman"/>
                <w:bCs/>
                <w:sz w:val="26"/>
                <w:szCs w:val="26"/>
                <w:lang w:val="fr-FR"/>
              </w:rPr>
            </w:pPr>
            <w:r w:rsidRPr="00727639">
              <w:rPr>
                <w:rFonts w:ascii="Times New Roman" w:eastAsia="Times New Roman" w:hAnsi="Times New Roman" w:cs="Times New Roman"/>
                <w:bCs/>
                <w:sz w:val="26"/>
                <w:szCs w:val="26"/>
                <w:lang w:val="fr-FR"/>
              </w:rPr>
              <w:t>1. Trong thời hạn 06 (sáu) tháng kể từ ngày Nghị định này có hiệu lực, trường cao đẳng nghề, trường trung cấp nghề và trung tâm dạy nghề đã được thành lập hoặc cho phép thành lập trước ngày 01 tháng 7 năm 2015 phải lập hồ sơ đề nghị cơ quan có thẩm quyền quyết định đổi tên trường, trung tâm quy định tại Điều 13 Nghị định này quyết định đổi tên trường, trung tâm.</w:t>
            </w:r>
          </w:p>
        </w:tc>
        <w:tc>
          <w:tcPr>
            <w:tcW w:w="7088" w:type="dxa"/>
            <w:shd w:val="clear" w:color="auto" w:fill="auto"/>
          </w:tcPr>
          <w:p w:rsidR="00727639" w:rsidRPr="00727639" w:rsidRDefault="00727639" w:rsidP="00727639">
            <w:pPr>
              <w:spacing w:before="120" w:after="60" w:line="276" w:lineRule="auto"/>
              <w:jc w:val="both"/>
              <w:rPr>
                <w:rFonts w:ascii="Times New Roman" w:eastAsia="Calibri" w:hAnsi="Times New Roman" w:cs="Times New Roman"/>
                <w:sz w:val="26"/>
                <w:szCs w:val="26"/>
                <w:lang w:val="fr-FR"/>
              </w:rPr>
            </w:pPr>
            <w:r w:rsidRPr="00727639">
              <w:rPr>
                <w:rFonts w:ascii="Times New Roman" w:eastAsia="Calibri" w:hAnsi="Times New Roman" w:cs="Times New Roman"/>
                <w:sz w:val="26"/>
                <w:szCs w:val="26"/>
                <w:lang w:val="fr-FR"/>
              </w:rPr>
              <w:t>Việc quy định bắt buộc trường cao đẳng nghề, trường trung cấp nghề và trung tâm dạy nghề thành lập trước ngày 01/07/2015 trong 6 tháng phải thực hiện thủ tục đổi tên là không phù hợp với Điều 78 Luật giáo dục nghề nghiệp. Tạo chi phí tuân thủ không cần thiết cho các cơ sở giáo dục nghề nghiệp.</w:t>
            </w:r>
          </w:p>
        </w:tc>
        <w:tc>
          <w:tcPr>
            <w:tcW w:w="3261" w:type="dxa"/>
            <w:shd w:val="clear" w:color="auto" w:fill="auto"/>
          </w:tcPr>
          <w:p w:rsidR="00727639" w:rsidRPr="00727639" w:rsidRDefault="00727639" w:rsidP="00727639">
            <w:pPr>
              <w:spacing w:before="120" w:after="60" w:line="276" w:lineRule="auto"/>
              <w:rPr>
                <w:rFonts w:ascii="Times New Roman" w:eastAsia="Calibri" w:hAnsi="Times New Roman" w:cs="Times New Roman"/>
                <w:sz w:val="26"/>
                <w:szCs w:val="26"/>
                <w:lang w:val="fr-FR"/>
              </w:rPr>
            </w:pPr>
            <w:r w:rsidRPr="00727639">
              <w:rPr>
                <w:rFonts w:ascii="Times New Roman" w:eastAsia="Calibri" w:hAnsi="Times New Roman" w:cs="Times New Roman"/>
                <w:sz w:val="26"/>
                <w:szCs w:val="26"/>
                <w:lang w:val="fr-FR"/>
              </w:rPr>
              <w:t>Đề nghị quy định theo hướng để các doanh nghiệp có quyền lựa chọn việc đổi tên.</w:t>
            </w:r>
          </w:p>
          <w:p w:rsidR="00727639" w:rsidRPr="00727639" w:rsidRDefault="00727639" w:rsidP="00727639">
            <w:pPr>
              <w:spacing w:before="120" w:after="60" w:line="276" w:lineRule="auto"/>
              <w:rPr>
                <w:rFonts w:ascii="Times New Roman" w:eastAsia="Calibri" w:hAnsi="Times New Roman" w:cs="Times New Roman"/>
                <w:sz w:val="26"/>
                <w:szCs w:val="26"/>
                <w:lang w:val="fr-FR"/>
              </w:rPr>
            </w:pPr>
          </w:p>
          <w:p w:rsidR="00727639" w:rsidRPr="00727639" w:rsidRDefault="00727639" w:rsidP="00727639">
            <w:pPr>
              <w:spacing w:before="120" w:after="60" w:line="276" w:lineRule="auto"/>
              <w:rPr>
                <w:rFonts w:ascii="Times New Roman" w:eastAsia="Calibri" w:hAnsi="Times New Roman" w:cs="Times New Roman"/>
                <w:sz w:val="26"/>
                <w:szCs w:val="26"/>
                <w:lang w:val="fr-FR"/>
              </w:rPr>
            </w:pPr>
          </w:p>
          <w:p w:rsidR="00727639" w:rsidRPr="00727639" w:rsidRDefault="00727639" w:rsidP="00727639">
            <w:pPr>
              <w:spacing w:before="120" w:after="60" w:line="276" w:lineRule="auto"/>
              <w:rPr>
                <w:rFonts w:ascii="Times New Roman" w:eastAsia="Calibri" w:hAnsi="Times New Roman" w:cs="Times New Roman"/>
                <w:sz w:val="26"/>
                <w:szCs w:val="26"/>
                <w:lang w:val="fr-FR"/>
              </w:rPr>
            </w:pPr>
          </w:p>
          <w:p w:rsidR="00727639" w:rsidRPr="00727639" w:rsidRDefault="00727639" w:rsidP="00727639">
            <w:pPr>
              <w:spacing w:before="120" w:after="60" w:line="276" w:lineRule="auto"/>
              <w:rPr>
                <w:rFonts w:ascii="Times New Roman" w:eastAsia="Calibri" w:hAnsi="Times New Roman" w:cs="Times New Roman"/>
                <w:sz w:val="26"/>
                <w:szCs w:val="26"/>
                <w:lang w:val="fr-FR"/>
              </w:rPr>
            </w:pPr>
          </w:p>
          <w:p w:rsidR="00727639" w:rsidRPr="00727639" w:rsidRDefault="00727639" w:rsidP="00727639">
            <w:pPr>
              <w:spacing w:before="120" w:after="60" w:line="276" w:lineRule="auto"/>
              <w:rPr>
                <w:rFonts w:ascii="Times New Roman" w:eastAsia="Calibri" w:hAnsi="Times New Roman" w:cs="Times New Roman"/>
                <w:sz w:val="26"/>
                <w:szCs w:val="26"/>
                <w:lang w:val="fr-FR"/>
              </w:rPr>
            </w:pPr>
          </w:p>
          <w:p w:rsidR="00727639" w:rsidRPr="00727639" w:rsidRDefault="00727639" w:rsidP="00727639">
            <w:pPr>
              <w:spacing w:before="120" w:after="60" w:line="276" w:lineRule="auto"/>
              <w:rPr>
                <w:rFonts w:ascii="Times New Roman" w:eastAsia="Calibri" w:hAnsi="Times New Roman" w:cs="Times New Roman"/>
                <w:sz w:val="26"/>
                <w:szCs w:val="26"/>
                <w:lang w:val="fr-FR"/>
              </w:rPr>
            </w:pPr>
          </w:p>
        </w:tc>
      </w:tr>
    </w:tbl>
    <w:p w:rsidR="005054F7" w:rsidRPr="00727639" w:rsidRDefault="005054F7">
      <w:pPr>
        <w:rPr>
          <w:lang w:val="fr-FR"/>
        </w:rPr>
      </w:pPr>
      <w:bookmarkStart w:id="0" w:name="_GoBack"/>
      <w:bookmarkEnd w:id="0"/>
    </w:p>
    <w:sectPr w:rsidR="005054F7" w:rsidRPr="00727639" w:rsidSect="00727639">
      <w:pgSz w:w="15840" w:h="12240" w:orient="landscape"/>
      <w:pgMar w:top="1440"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94584D"/>
    <w:multiLevelType w:val="hybridMultilevel"/>
    <w:tmpl w:val="9168EB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A24DD9"/>
    <w:multiLevelType w:val="hybridMultilevel"/>
    <w:tmpl w:val="9AD2F52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ECA"/>
    <w:rsid w:val="003E7ECA"/>
    <w:rsid w:val="005054F7"/>
    <w:rsid w:val="0072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D1658-64B5-4B79-86FD-7F998CD7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2373</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PC09</dc:creator>
  <cp:keywords/>
  <dc:description/>
  <cp:lastModifiedBy>PC09</cp:lastModifiedBy>
  <cp:revision>2</cp:revision>
  <dcterms:created xsi:type="dcterms:W3CDTF">2016-08-29T08:15:00Z</dcterms:created>
  <dcterms:modified xsi:type="dcterms:W3CDTF">2016-08-29T08:16:00Z</dcterms:modified>
</cp:coreProperties>
</file>